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716" w:rsidRPr="00E86716" w:rsidRDefault="00E86716" w:rsidP="00586007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586007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gramStart"/>
      <w:r w:rsidR="00586007" w:rsidRPr="00586007">
        <w:rPr>
          <w:rFonts w:ascii="Times New Roman" w:hAnsi="Times New Roman" w:cs="Times New Roman"/>
          <w:b/>
          <w:bCs/>
          <w:sz w:val="28"/>
          <w:szCs w:val="28"/>
        </w:rPr>
        <w:t xml:space="preserve">Земское и губное управление как исторический период развития местного самоуправления </w:t>
      </w:r>
      <w:bookmarkStart w:id="0" w:name="_GoBack"/>
      <w:bookmarkEnd w:id="0"/>
      <w:r w:rsidR="00586007" w:rsidRPr="00586007">
        <w:rPr>
          <w:rFonts w:ascii="Times New Roman" w:hAnsi="Times New Roman" w:cs="Times New Roman"/>
          <w:b/>
          <w:bCs/>
          <w:sz w:val="28"/>
          <w:szCs w:val="28"/>
        </w:rPr>
        <w:t>в России</w:t>
      </w:r>
      <w:r w:rsidR="00325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6007" w:rsidRPr="00586007">
        <w:rPr>
          <w:rFonts w:ascii="Times New Roman" w:hAnsi="Times New Roman" w:cs="Times New Roman"/>
          <w:b/>
          <w:bCs/>
          <w:sz w:val="28"/>
          <w:szCs w:val="28"/>
        </w:rPr>
        <w:t>(вторая пол.</w:t>
      </w:r>
      <w:proofErr w:type="gramEnd"/>
      <w:r w:rsidR="00586007" w:rsidRPr="00586007">
        <w:rPr>
          <w:rFonts w:ascii="Times New Roman" w:hAnsi="Times New Roman" w:cs="Times New Roman"/>
          <w:b/>
          <w:bCs/>
          <w:sz w:val="28"/>
          <w:szCs w:val="28"/>
        </w:rPr>
        <w:t xml:space="preserve"> XVI - нач. </w:t>
      </w:r>
      <w:proofErr w:type="gramStart"/>
      <w:r w:rsidR="00586007" w:rsidRPr="00586007">
        <w:rPr>
          <w:rFonts w:ascii="Times New Roman" w:hAnsi="Times New Roman" w:cs="Times New Roman"/>
          <w:b/>
          <w:bCs/>
          <w:sz w:val="28"/>
          <w:szCs w:val="28"/>
        </w:rPr>
        <w:t>XVII в.)</w:t>
      </w:r>
      <w:r w:rsidRPr="00E867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86716" w:rsidRPr="00E86716" w:rsidRDefault="00E86716" w:rsidP="00E86716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8671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867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007" w:rsidRPr="00586007" w:rsidRDefault="00586007" w:rsidP="00586007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586007">
        <w:rPr>
          <w:rFonts w:ascii="Times New Roman" w:hAnsi="Times New Roman" w:cs="Times New Roman"/>
          <w:i/>
          <w:sz w:val="28"/>
          <w:szCs w:val="28"/>
          <w:u w:val="single"/>
        </w:rPr>
        <w:t>1.Губное управление как ограничение власти кормленщиков (вторая пол.</w:t>
      </w:r>
      <w:proofErr w:type="gramEnd"/>
      <w:r w:rsidRPr="00586007">
        <w:rPr>
          <w:rFonts w:ascii="Times New Roman" w:hAnsi="Times New Roman" w:cs="Times New Roman"/>
          <w:i/>
          <w:sz w:val="28"/>
          <w:szCs w:val="28"/>
          <w:u w:val="single"/>
        </w:rPr>
        <w:t xml:space="preserve"> XVI - нач. </w:t>
      </w:r>
      <w:proofErr w:type="gramStart"/>
      <w:r w:rsidRPr="00586007">
        <w:rPr>
          <w:rFonts w:ascii="Times New Roman" w:hAnsi="Times New Roman" w:cs="Times New Roman"/>
          <w:i/>
          <w:sz w:val="28"/>
          <w:szCs w:val="28"/>
          <w:u w:val="single"/>
        </w:rPr>
        <w:t>XVII в.)</w:t>
      </w:r>
      <w:proofErr w:type="gramEnd"/>
    </w:p>
    <w:p w:rsidR="00586007" w:rsidRPr="00586007" w:rsidRDefault="00586007" w:rsidP="00586007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6007" w:rsidRPr="00586007" w:rsidRDefault="00586007" w:rsidP="00586007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6007">
        <w:rPr>
          <w:rFonts w:ascii="Times New Roman" w:hAnsi="Times New Roman" w:cs="Times New Roman"/>
          <w:i/>
          <w:sz w:val="28"/>
          <w:szCs w:val="28"/>
          <w:u w:val="single"/>
        </w:rPr>
        <w:t xml:space="preserve">   </w:t>
      </w:r>
      <w:proofErr w:type="gramStart"/>
      <w:r w:rsidRPr="00586007">
        <w:rPr>
          <w:rFonts w:ascii="Times New Roman" w:hAnsi="Times New Roman" w:cs="Times New Roman"/>
          <w:i/>
          <w:sz w:val="28"/>
          <w:szCs w:val="28"/>
          <w:u w:val="single"/>
        </w:rPr>
        <w:t>2.Земская реформа и ликвидация системы кормлений (вторая пол.</w:t>
      </w:r>
      <w:proofErr w:type="gramEnd"/>
      <w:r w:rsidRPr="00586007">
        <w:rPr>
          <w:rFonts w:ascii="Times New Roman" w:hAnsi="Times New Roman" w:cs="Times New Roman"/>
          <w:i/>
          <w:sz w:val="28"/>
          <w:szCs w:val="28"/>
          <w:u w:val="single"/>
        </w:rPr>
        <w:t xml:space="preserve"> XVI - нач. </w:t>
      </w:r>
      <w:proofErr w:type="gramStart"/>
      <w:r w:rsidRPr="00586007">
        <w:rPr>
          <w:rFonts w:ascii="Times New Roman" w:hAnsi="Times New Roman" w:cs="Times New Roman"/>
          <w:i/>
          <w:sz w:val="28"/>
          <w:szCs w:val="28"/>
          <w:u w:val="single"/>
        </w:rPr>
        <w:t>XVII в.)</w:t>
      </w:r>
      <w:proofErr w:type="gramEnd"/>
    </w:p>
    <w:p w:rsidR="00586007" w:rsidRPr="00586007" w:rsidRDefault="00586007" w:rsidP="00586007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86716" w:rsidRDefault="00586007" w:rsidP="00586007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6007">
        <w:rPr>
          <w:rFonts w:ascii="Times New Roman" w:hAnsi="Times New Roman" w:cs="Times New Roman"/>
          <w:i/>
          <w:sz w:val="28"/>
          <w:szCs w:val="28"/>
          <w:u w:val="single"/>
        </w:rPr>
        <w:t xml:space="preserve">   3.Земские соборы XVI века как «Советы всея земли»</w:t>
      </w:r>
    </w:p>
    <w:p w:rsidR="00586007" w:rsidRDefault="00586007" w:rsidP="00586007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6007" w:rsidRPr="00586007" w:rsidRDefault="00586007" w:rsidP="00586007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6007">
        <w:rPr>
          <w:rFonts w:ascii="Times New Roman" w:hAnsi="Times New Roman" w:cs="Times New Roman"/>
          <w:b/>
          <w:bCs/>
          <w:sz w:val="28"/>
          <w:szCs w:val="28"/>
        </w:rPr>
        <w:t>Вопрос 1. Губное управление как ограничение власти кормленщиков</w:t>
      </w:r>
    </w:p>
    <w:p w:rsidR="00586007" w:rsidRPr="00325FFC" w:rsidRDefault="00586007" w:rsidP="00586007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> </w:t>
      </w:r>
    </w:p>
    <w:p w:rsidR="00586007" w:rsidRPr="00325FFC" w:rsidRDefault="00586007" w:rsidP="00586007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    Основным моментом процесса реформирования системы местного управления (системы кормлений), стало начало постепенной замены в первой половине XVI в. кормленщиков выборными земскими властями. Прежде всего, этот процесс затронул охрану общественной безопасности и борьбу с уголовными преступлениями.</w:t>
      </w:r>
    </w:p>
    <w:p w:rsidR="00586007" w:rsidRPr="00325FFC" w:rsidRDefault="00586007" w:rsidP="00586007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До Ивана IV наместники и волостели осуществляли полномочия по всему комплексу вопросов уголовных дел. </w:t>
      </w:r>
    </w:p>
    <w:p w:rsidR="00586007" w:rsidRPr="00325FFC" w:rsidRDefault="00586007" w:rsidP="00586007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   Именно тяжкие уголовные преступления были для наместников и волостелей самыми доходными судебными статьями, дававшими им наиболее значительные пошлины.</w:t>
      </w: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За такие преступления осужденный подлежал так называемой продаже - конфискации всего имущества в пользу кормленщика, тогда как от других правонарушений он получал лишь штраф, равный иску или его половине. </w:t>
      </w: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86007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   Поэтому именно личный интерес кормленщика побуждал его уделять особое внимание «лихим делам» и максимально сурово наказывать за них, извлекая при этом огромную прибыль лично для себя, и почти не осуществлять мероприятий по предупреждению этих и других преступлений.</w:t>
      </w: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Во время боярского правления, пока Иван IV был малолетним, центральное правительство стало жаловать городским и сельским </w:t>
      </w:r>
      <w:proofErr w:type="gramStart"/>
      <w:r w:rsidRPr="00325FFC">
        <w:rPr>
          <w:rFonts w:ascii="Times New Roman" w:hAnsi="Times New Roman" w:cs="Times New Roman"/>
          <w:bCs/>
          <w:sz w:val="28"/>
          <w:szCs w:val="28"/>
        </w:rPr>
        <w:t>сообществам</w:t>
      </w:r>
      <w:proofErr w:type="gramEnd"/>
      <w:r w:rsidRPr="00325FFC">
        <w:rPr>
          <w:rFonts w:ascii="Times New Roman" w:hAnsi="Times New Roman" w:cs="Times New Roman"/>
          <w:bCs/>
          <w:sz w:val="28"/>
          <w:szCs w:val="28"/>
        </w:rPr>
        <w:t xml:space="preserve"> так называемые губные грамоты, предоставлявшие им широкие права в области уголовного преследования, вплоть до казни «лихих людей». </w:t>
      </w: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   Уголовно-полицейский округ, в котором полномочия по преследованию «лихих людей» предоставлялись самому местному земскому сообществу, назывался губой.</w:t>
      </w: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Первоначально губное окружное деление, по существу, совпадало с существовавшим административным делением. Так, по ряду Губных грамот 1539 г., местные жители всех сословий для поимки и казни разбойников выбирали в каждой волости соответствующих уездов специальных должностных лиц из детей боярских - голов, в количестве не менее 3-4 на каждую волость. </w:t>
      </w: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    Им в помощь предоставлялись старосты, десятские и наиболее авторитетные местные жители. Именно так в губном управлении произошло соединение деятельности служилого и тяглого общества с подчинением последнего первому.</w:t>
      </w: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25FFC">
        <w:rPr>
          <w:rFonts w:ascii="Times New Roman" w:hAnsi="Times New Roman" w:cs="Times New Roman"/>
          <w:bCs/>
          <w:sz w:val="28"/>
          <w:szCs w:val="28"/>
        </w:rPr>
        <w:t>В ряде мест из сел крупных привилегированных землевладельцев  формировались независимые от волостных особые губы во главе с губными головами и целовальниками, которые должны были координировать свои действия с волостными и становыми губными головами.</w:t>
      </w:r>
      <w:proofErr w:type="gramEnd"/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   Эти съезды, естественно, вели к объединению мелких губных единиц и формированию </w:t>
      </w:r>
      <w:proofErr w:type="spellStart"/>
      <w:r w:rsidRPr="00325FFC">
        <w:rPr>
          <w:rFonts w:ascii="Times New Roman" w:hAnsi="Times New Roman" w:cs="Times New Roman"/>
          <w:bCs/>
          <w:sz w:val="28"/>
          <w:szCs w:val="28"/>
        </w:rPr>
        <w:t>всеуездной</w:t>
      </w:r>
      <w:proofErr w:type="spellEnd"/>
      <w:r w:rsidRPr="00325FFC">
        <w:rPr>
          <w:rFonts w:ascii="Times New Roman" w:hAnsi="Times New Roman" w:cs="Times New Roman"/>
          <w:bCs/>
          <w:sz w:val="28"/>
          <w:szCs w:val="28"/>
        </w:rPr>
        <w:t xml:space="preserve"> губной власти. Во второй половине XVI в. такая власть была сформирована в виде </w:t>
      </w:r>
      <w:proofErr w:type="spellStart"/>
      <w:r w:rsidRPr="00325FFC">
        <w:rPr>
          <w:rFonts w:ascii="Times New Roman" w:hAnsi="Times New Roman" w:cs="Times New Roman"/>
          <w:bCs/>
          <w:sz w:val="28"/>
          <w:szCs w:val="28"/>
        </w:rPr>
        <w:t>всеуездных</w:t>
      </w:r>
      <w:proofErr w:type="spellEnd"/>
      <w:r w:rsidRPr="00325FFC">
        <w:rPr>
          <w:rFonts w:ascii="Times New Roman" w:hAnsi="Times New Roman" w:cs="Times New Roman"/>
          <w:bCs/>
          <w:sz w:val="28"/>
          <w:szCs w:val="28"/>
        </w:rPr>
        <w:t xml:space="preserve"> губных старост по одному или по два на весь уезд, преобразованный в одну цельную губу.</w:t>
      </w: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Став </w:t>
      </w:r>
      <w:proofErr w:type="spellStart"/>
      <w:r w:rsidRPr="00325FFC">
        <w:rPr>
          <w:rFonts w:ascii="Times New Roman" w:hAnsi="Times New Roman" w:cs="Times New Roman"/>
          <w:bCs/>
          <w:sz w:val="28"/>
          <w:szCs w:val="28"/>
        </w:rPr>
        <w:t>всеуездным</w:t>
      </w:r>
      <w:proofErr w:type="spellEnd"/>
      <w:r w:rsidRPr="00325FFC">
        <w:rPr>
          <w:rFonts w:ascii="Times New Roman" w:hAnsi="Times New Roman" w:cs="Times New Roman"/>
          <w:bCs/>
          <w:sz w:val="28"/>
          <w:szCs w:val="28"/>
        </w:rPr>
        <w:t xml:space="preserve">, губное управление образовало сложную сеть различных полицейских органов, имевших отделения по всему уезду, во главе которых стояли губные старосты, </w:t>
      </w:r>
      <w:proofErr w:type="spellStart"/>
      <w:r w:rsidRPr="00325FFC">
        <w:rPr>
          <w:rFonts w:ascii="Times New Roman" w:hAnsi="Times New Roman" w:cs="Times New Roman"/>
          <w:bCs/>
          <w:sz w:val="28"/>
          <w:szCs w:val="28"/>
        </w:rPr>
        <w:t>избиравшиеся</w:t>
      </w:r>
      <w:proofErr w:type="spellEnd"/>
      <w:r w:rsidRPr="00325FFC">
        <w:rPr>
          <w:rFonts w:ascii="Times New Roman" w:hAnsi="Times New Roman" w:cs="Times New Roman"/>
          <w:bCs/>
          <w:sz w:val="28"/>
          <w:szCs w:val="28"/>
        </w:rPr>
        <w:t xml:space="preserve"> на всесословном уездном съезде из служилых людей по одному или два на каждый уезд.</w:t>
      </w: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   Губные учреждения на местах были созданы не путем ликвидации системы кормлений, а параллельно им, с тем, чтобы постепенно вытеснить управление наместниками и волостелями.</w:t>
      </w: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Поэтому реформа местного управления на этом этапе осуществлялась не путем ликвидации кормлений и не изданием какого-либо единого Уложения, а созданием на местах губных органов управления отдельными распоряжениями - губными грамотами. </w:t>
      </w: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   Само деление на губы было взято из опыта местного самоуправления вольных городов Новгорода и Пскова и вообще земель Русского Севера.</w:t>
      </w: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Органы губного управления возглавлялись губными старостами, </w:t>
      </w:r>
      <w:proofErr w:type="spellStart"/>
      <w:r w:rsidRPr="00325FFC">
        <w:rPr>
          <w:rFonts w:ascii="Times New Roman" w:hAnsi="Times New Roman" w:cs="Times New Roman"/>
          <w:bCs/>
          <w:sz w:val="28"/>
          <w:szCs w:val="28"/>
        </w:rPr>
        <w:t>избиравшимися</w:t>
      </w:r>
      <w:proofErr w:type="spellEnd"/>
      <w:r w:rsidRPr="00325FFC">
        <w:rPr>
          <w:rFonts w:ascii="Times New Roman" w:hAnsi="Times New Roman" w:cs="Times New Roman"/>
          <w:bCs/>
          <w:sz w:val="28"/>
          <w:szCs w:val="28"/>
        </w:rPr>
        <w:t xml:space="preserve"> из дворян или детей боярских на традиционной основе единогласия. </w:t>
      </w: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   Если из-за разногласия выбор мог не состояться, то губного старосту назначали непосредственно из Москвы. Списки губных старост направлялись в столицу на утверждение. </w:t>
      </w: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  Избрание губного старосты происходило в соответствии с так называемой царской делегацией полномочий и утверждалось опять-таки царем.</w:t>
      </w: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Состоявшие первоначально при губном старосте, старосты, десятские и наиболее авторитетные местные люди (добрые люди) со временем </w:t>
      </w:r>
      <w:proofErr w:type="gramStart"/>
      <w:r w:rsidRPr="00325FFC">
        <w:rPr>
          <w:rFonts w:ascii="Times New Roman" w:hAnsi="Times New Roman" w:cs="Times New Roman"/>
          <w:bCs/>
          <w:sz w:val="28"/>
          <w:szCs w:val="28"/>
        </w:rPr>
        <w:t>заменяются на целовальников</w:t>
      </w:r>
      <w:proofErr w:type="gramEnd"/>
      <w:r w:rsidRPr="00325FFC">
        <w:rPr>
          <w:rFonts w:ascii="Times New Roman" w:hAnsi="Times New Roman" w:cs="Times New Roman"/>
          <w:bCs/>
          <w:sz w:val="28"/>
          <w:szCs w:val="28"/>
        </w:rPr>
        <w:t xml:space="preserve"> в количестве не более 4 человек.</w:t>
      </w: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При них состоял губной дьяк, ведавший делопроизводством. Все вместе они составляли губную избу. </w:t>
      </w: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   Губного старосту и губного дьяка избирали на принципах </w:t>
      </w:r>
      <w:proofErr w:type="gramStart"/>
      <w:r w:rsidRPr="00325FFC">
        <w:rPr>
          <w:rFonts w:ascii="Times New Roman" w:hAnsi="Times New Roman" w:cs="Times New Roman"/>
          <w:bCs/>
          <w:sz w:val="28"/>
          <w:szCs w:val="28"/>
        </w:rPr>
        <w:t>единогласия</w:t>
      </w:r>
      <w:proofErr w:type="gramEnd"/>
      <w:r w:rsidRPr="00325FFC">
        <w:rPr>
          <w:rFonts w:ascii="Times New Roman" w:hAnsi="Times New Roman" w:cs="Times New Roman"/>
          <w:bCs/>
          <w:sz w:val="28"/>
          <w:szCs w:val="28"/>
        </w:rPr>
        <w:t xml:space="preserve"> на сходах местных жителей. В случае разногласия в Москву направлялся запрос, и </w:t>
      </w:r>
      <w:r w:rsidRPr="00325FFC">
        <w:rPr>
          <w:rFonts w:ascii="Times New Roman" w:hAnsi="Times New Roman" w:cs="Times New Roman"/>
          <w:bCs/>
          <w:sz w:val="28"/>
          <w:szCs w:val="28"/>
        </w:rPr>
        <w:lastRenderedPageBreak/>
        <w:t>губные власти назначались лично государем. Если первоначально губные власти назначались, по существу, бессрочно, то с конца XVI в. царем было принято решение переназначать целовальников ежегодно.</w:t>
      </w: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   В итоге, губная изба стала проводить всю уголовную и тюремную политику в соответствующем уезде.</w:t>
      </w: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    Примерно со второй половины XVI в. царь начинает передавать губным старостам некоторые полномочия, связанные с земельными отношениями, различными промыслами, рыбной ловлей и т. д. Даже во времена опричнины деление земель, чаще всего, поручалось губным старостам. </w:t>
      </w: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    В некоторых областях губные учреждения заменили собой все областное управление, а там, где царским указом отменялось наместничество, единственными органами московского правительства выступали губные учреждения.</w:t>
      </w:r>
    </w:p>
    <w:p w:rsidR="00325FFC" w:rsidRDefault="00325FFC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5FFC">
        <w:rPr>
          <w:rFonts w:ascii="Times New Roman" w:hAnsi="Times New Roman" w:cs="Times New Roman"/>
          <w:b/>
          <w:bCs/>
          <w:sz w:val="28"/>
          <w:szCs w:val="28"/>
        </w:rPr>
        <w:t>Вопрос 2. Земская реформа и ликвидация системы кормлений</w:t>
      </w: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> </w:t>
      </w: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   Следующим шагом по пути развития самоуправления в московском государстве была земская реформа и ликвидация системы кормлений, также проведенные Иваном IV (Грозным).</w:t>
      </w: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   Главной причиной, побудившей царя отказаться от традиционного местного управления - кормлений - было то, что система кормлений не только препятствовала централизации местного аппарата, но и созданию боеспособного войска.</w:t>
      </w: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    Военно-служилое сословие имело двойственное значение: с одной стороны, составляло основную боевую силу Московского государства, с другой стороны, было стержнем всей системы управления (в том числе и местного). Поэтому существовавшая система кормлений была средством поддержания (в мирное время) ратных людей.</w:t>
      </w: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   Со второй половины XVI в. внешняя политическая и военная ситуация вокруг Московского государства крайне осложнилась, что вынуждало царя вести военно-оборонительные действия по нескольким направлениям одновременно, что требовало привлечения значительной части военно-служилого сословия. </w:t>
      </w: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   Вместе с тем, мобилизация крайне затруднялась именно по той причине, что почти все это сословие было разбросано по территории страны «на корма», а порядок управления постоянно будоражило от того, что все новых и новых кормленщиков царь был вынужден призывать на военную службу.</w:t>
      </w: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>Таким образом, возникла парадоксальная ситуация, при которой военные люди так и не становились хорошими управленцами, постепенно теряя и воинскую выучку, прозябая где-нибудь в глубинке «на кормах».</w:t>
      </w: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Важнейшим Указом среди земских преобразований, был «Приговор </w:t>
      </w:r>
      <w:proofErr w:type="gramStart"/>
      <w:r w:rsidRPr="00325FFC">
        <w:rPr>
          <w:rFonts w:ascii="Times New Roman" w:hAnsi="Times New Roman" w:cs="Times New Roman"/>
          <w:bCs/>
          <w:sz w:val="28"/>
          <w:szCs w:val="28"/>
        </w:rPr>
        <w:t>царской</w:t>
      </w:r>
      <w:proofErr w:type="gramEnd"/>
      <w:r w:rsidRPr="00325FFC">
        <w:rPr>
          <w:rFonts w:ascii="Times New Roman" w:hAnsi="Times New Roman" w:cs="Times New Roman"/>
          <w:bCs/>
          <w:sz w:val="28"/>
          <w:szCs w:val="28"/>
        </w:rPr>
        <w:t xml:space="preserve"> о кормлении и о службах» (1555-1556 гг.). Главной идеей этого указа было то, что за </w:t>
      </w:r>
      <w:r w:rsidRPr="00325FF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самоуправлением признавался статус службы царскою, службы, делегированной на места верховной властью. </w:t>
      </w: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   Отмена кормлений приводит к повсеместному учреждению земских властей, которыми в городах и волостях являлись излюбленные головы и земские судьи.</w:t>
      </w: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   Несмотря на видимую новизну создаваемой системы местного управления, сохранялась не только незыблемость основ общественного строя, но и преемственность с управлением времен кормлений. Существовал классовый характер общественных отношений, разрушавших самоуправление изнутри.</w:t>
      </w: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   Избрание совершалось на неопределенный срок при возможности населения заменить выборных. Протокол выборов утверждался в Москве в соответствующем областном или финансовом Приказе. В них же земские власти приносили присягу.</w:t>
      </w: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Волость или община, входившие в состав уезда или волости, имели в земских органах своего представителя. </w:t>
      </w: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   Кроме того, местное население избирало специального земского дьяка для судебного делопроизводства. </w:t>
      </w: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   Все должностные лица земской власти составляли земскую избу, властные полномочия которой распространялись на тяглое население, посадских людей и крестьян, то есть на тех, кто ее избирал.</w:t>
      </w: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   Полномочия земских властей распространялись на судебные, хозяйственные и финансово-налоговые отношения. Они заведовали сбором и доставкой в Москву всех прямых налогов. </w:t>
      </w: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2521" w:rsidRPr="00325FFC" w:rsidRDefault="00982521" w:rsidP="00982521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   Объем судебных полномочий земских властей был примерно равен кругу вопросов, входивших в компетенцию наместников и боярского суда, а в чем-то </w:t>
      </w:r>
      <w:proofErr w:type="gramStart"/>
      <w:r w:rsidRPr="00325FFC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325FFC">
        <w:rPr>
          <w:rFonts w:ascii="Times New Roman" w:hAnsi="Times New Roman" w:cs="Times New Roman"/>
          <w:bCs/>
          <w:sz w:val="28"/>
          <w:szCs w:val="28"/>
        </w:rPr>
        <w:t xml:space="preserve"> превышая его, так как земские власти были вправе неограниченно решать не только дела холопские, но и дела, ведшие к смертной казни.</w:t>
      </w:r>
    </w:p>
    <w:p w:rsidR="00325FFC" w:rsidRPr="00325FFC" w:rsidRDefault="00325FFC" w:rsidP="00325FFC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>При этом, естественно, земские учреждения вторгались в компетенцию губных органов. Подобные столкновения обычно разрешались тем, что земские власти осуществляли правосудие совместно с губными структурами или вообще отказывались от рассмотрения дел, относящихся к спорной компетенции губных органов власти.</w:t>
      </w:r>
    </w:p>
    <w:p w:rsidR="00325FFC" w:rsidRPr="00325FFC" w:rsidRDefault="00325FFC" w:rsidP="00325FFC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2521" w:rsidRPr="00325FFC" w:rsidRDefault="00325FFC" w:rsidP="00325FFC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   Однако, чаще всего, практика реформирования, ведшая к созданию земских учреждений, приводила к тому, что на соответствующих территориях переставали действовать губные органы.</w:t>
      </w:r>
    </w:p>
    <w:p w:rsidR="00325FFC" w:rsidRPr="00325FFC" w:rsidRDefault="00325FFC" w:rsidP="00325FFC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На Русском Севере земское самоуправление и вводить не надо было, так как оно там существовало со времен его заселения. Его отличительной чертой было территориальное совпадение волости с церковным приходом (церковной общиною). </w:t>
      </w:r>
      <w:r w:rsidRPr="00325FFC">
        <w:rPr>
          <w:rFonts w:ascii="Times New Roman" w:hAnsi="Times New Roman" w:cs="Times New Roman"/>
          <w:bCs/>
          <w:sz w:val="28"/>
          <w:szCs w:val="28"/>
        </w:rPr>
        <w:lastRenderedPageBreak/>
        <w:t>При этом волостной мир, как община, владеющая землями и угодьями, являлся общностью с признаками современного юридического лица.</w:t>
      </w:r>
    </w:p>
    <w:p w:rsidR="00325FFC" w:rsidRPr="00325FFC" w:rsidRDefault="00325FFC" w:rsidP="00325FFC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5FFC" w:rsidRPr="00325FFC" w:rsidRDefault="00325FFC" w:rsidP="00325FFC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   На территории Московского государства земская реформа осталась неосуществленной, а власть наместников-кормленщиков постепенно заменялась воеводским управлением, более жестко связанным с центральным правительственным аппаратом.</w:t>
      </w:r>
    </w:p>
    <w:p w:rsidR="00325FFC" w:rsidRPr="00325FFC" w:rsidRDefault="00325FFC" w:rsidP="00325FFC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Во многом реформы Ивана IV отрицательно повлияли на естественное развитие управления и самоуправления в стране. </w:t>
      </w:r>
    </w:p>
    <w:p w:rsidR="00325FFC" w:rsidRPr="00325FFC" w:rsidRDefault="00325FFC" w:rsidP="00325FFC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5FFC" w:rsidRPr="00325FFC" w:rsidRDefault="00325FFC" w:rsidP="00325FFC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    И прежде всего это касается земель, попавших в опричнину, где самоуправление было вообще ликвидировано, а власть попала в руки целого слоя людей, получивших заверенное царским словом согласие на беззаконие, что никак не способствовало развитию самоуправления.</w:t>
      </w:r>
    </w:p>
    <w:p w:rsidR="00325FFC" w:rsidRDefault="00325FFC" w:rsidP="00325FFC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5FFC" w:rsidRPr="00325FFC" w:rsidRDefault="00325FFC" w:rsidP="00325FFC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5FFC">
        <w:rPr>
          <w:rFonts w:ascii="Times New Roman" w:hAnsi="Times New Roman" w:cs="Times New Roman"/>
          <w:b/>
          <w:bCs/>
          <w:sz w:val="28"/>
          <w:szCs w:val="28"/>
        </w:rPr>
        <w:t>Вопрос 3. Земские соборы XVI века как «Советы всея земли»</w:t>
      </w:r>
    </w:p>
    <w:p w:rsidR="00325FFC" w:rsidRPr="00325FFC" w:rsidRDefault="00325FFC" w:rsidP="00325FFC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> </w:t>
      </w:r>
    </w:p>
    <w:p w:rsidR="00325FFC" w:rsidRPr="00325FFC" w:rsidRDefault="00325FFC" w:rsidP="00325FFC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   Земские Соборы в России оформились в XVI в. и уже к концу XVII в. потеряли свое значение. </w:t>
      </w:r>
    </w:p>
    <w:p w:rsidR="00325FFC" w:rsidRPr="00325FFC" w:rsidRDefault="00325FFC" w:rsidP="00325FFC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5FFC" w:rsidRPr="00325FFC" w:rsidRDefault="00325FFC" w:rsidP="00325FFC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   Период наибольшего расцвета сословно-представительной монархии в России приходится на первую половину XVII века, когда земские Соборы собирались особенно часто.</w:t>
      </w:r>
    </w:p>
    <w:p w:rsidR="00325FFC" w:rsidRPr="00325FFC" w:rsidRDefault="00325FFC" w:rsidP="00325FFC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>Право их созыва принадлежало правительству, а решения, принятые земскими Соборами, не были обязательными для самодержавной власти. Поэтому о сословно-представительной монархии в России XVI-XVII вв. можно говорить лишь с формально-юридической точки зрения.</w:t>
      </w:r>
    </w:p>
    <w:p w:rsidR="00325FFC" w:rsidRPr="00325FFC" w:rsidRDefault="00325FFC" w:rsidP="00325FFC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5FFC" w:rsidRPr="00325FFC" w:rsidRDefault="00325FFC" w:rsidP="00325FFC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   Земские Соборы XVI в. не были органами народного представительства, а являлись расширенным центральным правительством.  </w:t>
      </w:r>
    </w:p>
    <w:p w:rsidR="00325FFC" w:rsidRPr="00325FFC" w:rsidRDefault="00325FFC" w:rsidP="00325FFC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Данное «расширение» достигалось тем, что в состав Боярской Думы (своего рода государственного совета при московском князе-царе) в особо важных случаях вводился местно-сословный элемент, по своему происхождению и сути общественный, но с правительственным предназначением, так как в столицу приглашались не представители населения, а руководители местных служилых и промышленных сообществ. </w:t>
      </w:r>
    </w:p>
    <w:p w:rsidR="00325FFC" w:rsidRPr="00325FFC" w:rsidRDefault="00325FFC" w:rsidP="00325FFC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   Поэтому в рамках Собора из местных руководителей не формировалось какого-либо особого собрания или совещания, действовавшего автономно от московских центральных властей.</w:t>
      </w:r>
    </w:p>
    <w:p w:rsidR="00325FFC" w:rsidRPr="00325FFC" w:rsidRDefault="00325FFC" w:rsidP="00325FFC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Земские, губные и верные представители непосредственно включались в состав действовавших органов центральной власти, обладая возможностью образовать несколько “рабочих” групп, функционировавших в рамках Собора и параллельно должностным лицам центральных органов и наделенных правом голоса наряду с боярами и приказными людьми. </w:t>
      </w:r>
    </w:p>
    <w:p w:rsidR="00325FFC" w:rsidRPr="00325FFC" w:rsidRDefault="00325FFC" w:rsidP="00325FFC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Таким образом, земский Собор XVI в. - это Боярская Дума, то есть правительство, расширенное за счет участия лиц из высших сословий Земли или общества.</w:t>
      </w:r>
    </w:p>
    <w:p w:rsidR="00325FFC" w:rsidRPr="00325FFC" w:rsidRDefault="00325FFC" w:rsidP="00325FFC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   Земские Соборы возникли в одно время с местными реформами царя Ивана IV (Грозного). Они являлись совместными совещаниями Боярской Думы (то есть центрального правительства) с представителями столичных служилых классов, действовавших на местах от имени правительства, но под свою личную ответственность. </w:t>
      </w:r>
    </w:p>
    <w:p w:rsidR="00325FFC" w:rsidRPr="00325FFC" w:rsidRDefault="00325FFC" w:rsidP="00325FFC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5FFC" w:rsidRPr="00325FFC" w:rsidRDefault="00325FFC" w:rsidP="00325FFC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   Такие совещания проводились для выработки общего решения по особо важным вопросам государственной жизни и для принятия участниками Собора обязательного для всех соборного приговора.</w:t>
      </w:r>
    </w:p>
    <w:p w:rsidR="00325FFC" w:rsidRPr="00325FFC" w:rsidRDefault="00325FFC" w:rsidP="00325FFC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     Говоря о каждом из четырех Соборов XVI в., следует отметить, что по всем признакам первый земский Собор 1550 г. представляется каким-то незабываемым в европейской истории актом всенародного покаяния царя и боярского правительства в их «политических грехах», что явилось следствием, очевидно, весьма непростой внутригосударственной и внешнеполитической ситуации.</w:t>
      </w:r>
    </w:p>
    <w:p w:rsidR="00325FFC" w:rsidRPr="00325FFC" w:rsidRDefault="00325FFC" w:rsidP="00325FFC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5FFC" w:rsidRPr="00325FFC" w:rsidRDefault="00325FFC" w:rsidP="00325FFC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  Вторым важнейшим моментом этого Собора было принятие нового Судебника, представлявшего исправленную редакцию Судебника 1497 г.</w:t>
      </w:r>
    </w:p>
    <w:p w:rsidR="00325FFC" w:rsidRPr="00325FFC" w:rsidRDefault="00325FFC" w:rsidP="00325FFC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5FFC" w:rsidRPr="00325FFC" w:rsidRDefault="00325FFC" w:rsidP="00325FFC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  Третий важнейший момент первого Собора - это нормативное закрепление начала реформы системы кормлений и местного управления вообще.</w:t>
      </w:r>
    </w:p>
    <w:p w:rsidR="00325FFC" w:rsidRPr="00325FFC" w:rsidRDefault="00325FFC" w:rsidP="00325FFC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>Именно с земским Собором 1550 г. прямо или косвенно был связан целый ряд законодательных мер, предназначенных реформировать местное управление, начиная с ликвидации тяжб земства с кормленщиками, обязательным повсеместным введением в суд кормленщиков выборных старост и целовальников, и заканчивая “уставными грамотами”, отменявшими кормления.</w:t>
      </w:r>
    </w:p>
    <w:p w:rsidR="00325FFC" w:rsidRPr="00325FFC" w:rsidRDefault="00325FFC" w:rsidP="00325FFC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  Касаясь земских Соборов 1566 г. и 1598 г., следует подчеркнуть, что и они также были связаны с переустройством государственного управления.</w:t>
      </w:r>
    </w:p>
    <w:p w:rsidR="00325FFC" w:rsidRPr="00325FFC" w:rsidRDefault="00325FFC" w:rsidP="00325FFC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FFC">
        <w:rPr>
          <w:rFonts w:ascii="Times New Roman" w:hAnsi="Times New Roman" w:cs="Times New Roman"/>
          <w:bCs/>
          <w:sz w:val="28"/>
          <w:szCs w:val="28"/>
        </w:rPr>
        <w:t xml:space="preserve">   На первом Соборе присутствовало 374 члена, на втором - 512. Работу обоих Соборов возглавляли два высших правительственных учреждения, церковное и государственное - Освященный Собор и Боярская Дума.</w:t>
      </w:r>
    </w:p>
    <w:sectPr w:rsidR="00325FFC" w:rsidRPr="00325FFC" w:rsidSect="007A203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ED7" w:rsidRDefault="00816ED7" w:rsidP="00816ED7">
      <w:pPr>
        <w:spacing w:after="0" w:line="240" w:lineRule="auto"/>
      </w:pPr>
      <w:r>
        <w:separator/>
      </w:r>
    </w:p>
  </w:endnote>
  <w:endnote w:type="continuationSeparator" w:id="0">
    <w:p w:rsidR="00816ED7" w:rsidRDefault="00816ED7" w:rsidP="0081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01258"/>
      <w:docPartObj>
        <w:docPartGallery w:val="Page Numbers (Bottom of Page)"/>
        <w:docPartUnique/>
      </w:docPartObj>
    </w:sdtPr>
    <w:sdtEndPr/>
    <w:sdtContent>
      <w:p w:rsidR="00816ED7" w:rsidRDefault="0058600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66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6ED7" w:rsidRDefault="00816E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ED7" w:rsidRDefault="00816ED7" w:rsidP="00816ED7">
      <w:pPr>
        <w:spacing w:after="0" w:line="240" w:lineRule="auto"/>
      </w:pPr>
      <w:r>
        <w:separator/>
      </w:r>
    </w:p>
  </w:footnote>
  <w:footnote w:type="continuationSeparator" w:id="0">
    <w:p w:rsidR="00816ED7" w:rsidRDefault="00816ED7" w:rsidP="00816E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6716"/>
    <w:rsid w:val="00127DDA"/>
    <w:rsid w:val="001371A6"/>
    <w:rsid w:val="002F4C84"/>
    <w:rsid w:val="00325FFC"/>
    <w:rsid w:val="004E6D21"/>
    <w:rsid w:val="00586007"/>
    <w:rsid w:val="006A2A1A"/>
    <w:rsid w:val="006B2A17"/>
    <w:rsid w:val="00721F0B"/>
    <w:rsid w:val="007A203B"/>
    <w:rsid w:val="00816ED7"/>
    <w:rsid w:val="00962497"/>
    <w:rsid w:val="00982521"/>
    <w:rsid w:val="009966AD"/>
    <w:rsid w:val="009E2BC5"/>
    <w:rsid w:val="00B24101"/>
    <w:rsid w:val="00BC6BAF"/>
    <w:rsid w:val="00E27D61"/>
    <w:rsid w:val="00E8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6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6ED7"/>
  </w:style>
  <w:style w:type="paragraph" w:styleId="a5">
    <w:name w:val="footer"/>
    <w:basedOn w:val="a"/>
    <w:link w:val="a6"/>
    <w:uiPriority w:val="99"/>
    <w:unhideWhenUsed/>
    <w:rsid w:val="00816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6E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2052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</cp:revision>
  <dcterms:created xsi:type="dcterms:W3CDTF">2018-01-25T12:58:00Z</dcterms:created>
  <dcterms:modified xsi:type="dcterms:W3CDTF">2018-01-29T07:13:00Z</dcterms:modified>
</cp:coreProperties>
</file>